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03B40EF3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bookmarkStart w:id="1" w:name="_Hlk150338621"/>
      <w:r w:rsidR="00230484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101BF4">
        <w:rPr>
          <w:rFonts w:ascii="Bookman Old Style" w:hAnsi="Bookman Old Style" w:cs="Times New Roman"/>
          <w:b/>
          <w:bCs/>
          <w:sz w:val="20"/>
          <w:szCs w:val="20"/>
        </w:rPr>
        <w:t>Emmanuel Sam – 9894856055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7036FD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0907511" w14:textId="05B3D06B" w:rsidR="0029499D" w:rsidRDefault="00FB1013" w:rsidP="00D627FB">
            <w:pPr>
              <w:ind w:left="89" w:right="7" w:hanging="2"/>
              <w:jc w:val="center"/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1.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</w:t>
            </w: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&amp;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Time of e-Auction</w:t>
            </w:r>
          </w:p>
          <w:p w14:paraId="7D4B838C" w14:textId="3BC4ACBA" w:rsidR="00FB1013" w:rsidRPr="00632236" w:rsidRDefault="00FB1013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2. Date &amp; Time of Property Inspection</w:t>
            </w:r>
          </w:p>
        </w:tc>
      </w:tr>
      <w:tr w:rsidR="0029499D" w:rsidRPr="00632236" w14:paraId="3FDDA0A2" w14:textId="77777777" w:rsidTr="007036FD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7036FD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077D70" w:rsidRPr="00632236" w14:paraId="77EF467C" w14:textId="77777777" w:rsidTr="007036FD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00E4A72" w14:textId="0FBE1B46" w:rsidR="00077D70" w:rsidRPr="007950CB" w:rsidRDefault="008257A2" w:rsidP="00077D70">
            <w:pPr>
              <w:jc w:val="center"/>
              <w:rPr>
                <w:b/>
                <w:color w:val="000000" w:themeColor="text1"/>
              </w:rPr>
            </w:pPr>
            <w:r w:rsidRPr="007C33C4">
              <w:rPr>
                <w:rFonts w:ascii="Cambria" w:hAnsi="Cambria"/>
                <w:b/>
                <w:bCs/>
                <w:noProof/>
              </w:rPr>
              <w:t>LNTAM0HL-10240049036</w:t>
            </w:r>
            <w:r>
              <w:rPr>
                <w:rFonts w:ascii="Cambria" w:hAnsi="Cambria"/>
                <w:b/>
                <w:bCs/>
                <w:noProof/>
              </w:rPr>
              <w:t xml:space="preserve">, </w:t>
            </w:r>
            <w:r w:rsidRPr="007C33C4">
              <w:rPr>
                <w:rFonts w:ascii="Cambria" w:hAnsi="Cambria"/>
                <w:b/>
                <w:bCs/>
                <w:noProof/>
              </w:rPr>
              <w:t>LNTAMLAP-10240049361</w:t>
            </w:r>
          </w:p>
          <w:p w14:paraId="5F4AA92A" w14:textId="77777777" w:rsidR="00077D70" w:rsidRPr="007950CB" w:rsidRDefault="00077D70" w:rsidP="00077D70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BRANCH:</w:t>
            </w:r>
          </w:p>
          <w:p w14:paraId="3D86E91F" w14:textId="6E219DB5" w:rsidR="008257A2" w:rsidRPr="009D11BB" w:rsidRDefault="009D11BB" w:rsidP="00077D70">
            <w:pPr>
              <w:jc w:val="center"/>
              <w:rPr>
                <w:bCs/>
                <w:color w:val="000000" w:themeColor="text1"/>
              </w:rPr>
            </w:pPr>
            <w:r w:rsidRPr="009D11BB">
              <w:rPr>
                <w:bCs/>
                <w:color w:val="000000" w:themeColor="text1"/>
              </w:rPr>
              <w:t>CHENNAI TAMBARAN</w:t>
            </w:r>
          </w:p>
          <w:p w14:paraId="53678A67" w14:textId="0B28F68B" w:rsidR="00077D70" w:rsidRPr="007950CB" w:rsidRDefault="00077D70" w:rsidP="00077D70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BORROWER:</w:t>
            </w:r>
          </w:p>
          <w:p w14:paraId="46357D64" w14:textId="65225E6A" w:rsidR="00077D70" w:rsidRPr="008257A2" w:rsidRDefault="008257A2" w:rsidP="00077D70">
            <w:pPr>
              <w:jc w:val="center"/>
              <w:rPr>
                <w:bCs/>
                <w:color w:val="000000" w:themeColor="text1"/>
              </w:rPr>
            </w:pPr>
            <w:r w:rsidRPr="008257A2">
              <w:rPr>
                <w:rFonts w:ascii="Cambria" w:hAnsi="Cambria"/>
                <w:bCs/>
                <w:noProof/>
              </w:rPr>
              <w:t>KATHAVARAYAN G</w:t>
            </w:r>
          </w:p>
          <w:p w14:paraId="0D18355B" w14:textId="77777777" w:rsidR="00077D70" w:rsidRPr="007950CB" w:rsidRDefault="00077D70" w:rsidP="00077D70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CO-BORROWER(S):</w:t>
            </w:r>
          </w:p>
          <w:p w14:paraId="74C3973B" w14:textId="1D7B1C33" w:rsidR="00077D70" w:rsidRPr="008257A2" w:rsidRDefault="008257A2" w:rsidP="00077D70">
            <w:pPr>
              <w:spacing w:line="276" w:lineRule="auto"/>
              <w:jc w:val="center"/>
              <w:rPr>
                <w:rFonts w:eastAsia="Times New Roman"/>
                <w:bCs/>
                <w:color w:val="000000"/>
              </w:rPr>
            </w:pPr>
            <w:r w:rsidRPr="008257A2">
              <w:rPr>
                <w:rFonts w:ascii="Cambria" w:hAnsi="Cambria"/>
                <w:bCs/>
                <w:noProof/>
              </w:rPr>
              <w:t>SUJITHA G</w:t>
            </w:r>
          </w:p>
          <w:p w14:paraId="67B3159C" w14:textId="3E06A5AA" w:rsidR="00077D70" w:rsidRPr="00F02523" w:rsidRDefault="00077D70" w:rsidP="00077D7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D640506" w14:textId="62EAF95E" w:rsidR="00077D70" w:rsidRPr="007950CB" w:rsidRDefault="008257A2" w:rsidP="00077D70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077D70" w:rsidRPr="007950CB">
              <w:rPr>
                <w:b/>
              </w:rPr>
              <w:t>/</w:t>
            </w:r>
            <w:r>
              <w:rPr>
                <w:b/>
              </w:rPr>
              <w:t>08</w:t>
            </w:r>
            <w:r w:rsidR="00077D70" w:rsidRPr="007950CB">
              <w:rPr>
                <w:b/>
              </w:rPr>
              <w:t>/202</w:t>
            </w:r>
            <w:r w:rsidR="00077D70">
              <w:rPr>
                <w:b/>
              </w:rPr>
              <w:t>5</w:t>
            </w:r>
          </w:p>
          <w:p w14:paraId="5C50DEF5" w14:textId="2CB16446" w:rsidR="00077D70" w:rsidRDefault="008257A2" w:rsidP="00077D70">
            <w:pPr>
              <w:ind w:left="65" w:right="131"/>
              <w:jc w:val="center"/>
              <w:rPr>
                <w:bCs/>
              </w:rPr>
            </w:pPr>
            <w:r w:rsidRPr="008257A2">
              <w:rPr>
                <w:rFonts w:ascii="Cambria" w:hAnsi="Cambria"/>
                <w:bCs/>
              </w:rPr>
              <w:t xml:space="preserve">RS. </w:t>
            </w:r>
            <w:r w:rsidRPr="008257A2">
              <w:rPr>
                <w:rFonts w:ascii="Cambria" w:hAnsi="Cambria"/>
                <w:bCs/>
                <w:noProof/>
              </w:rPr>
              <w:t>25,78,225</w:t>
            </w:r>
            <w:r w:rsidRPr="008257A2">
              <w:rPr>
                <w:rFonts w:ascii="Cambria" w:hAnsi="Cambria"/>
                <w:bCs/>
              </w:rPr>
              <w:t>/- (</w:t>
            </w:r>
            <w:r w:rsidRPr="008257A2">
              <w:rPr>
                <w:rFonts w:ascii="Cambria" w:hAnsi="Cambria"/>
                <w:bCs/>
                <w:noProof/>
              </w:rPr>
              <w:t>RUPEES TWENTYFIVE LAKH SEVENTYEIGHT THOUSAND TWO HUNDRED TWENTYFIVE ONLY</w:t>
            </w:r>
            <w:r w:rsidRPr="008257A2">
              <w:rPr>
                <w:rFonts w:ascii="Cambria" w:hAnsi="Cambria"/>
                <w:bCs/>
              </w:rPr>
              <w:t xml:space="preserve">) ON </w:t>
            </w:r>
            <w:r w:rsidRPr="008257A2">
              <w:rPr>
                <w:rFonts w:ascii="Cambria" w:eastAsia="Times New Roman" w:hAnsi="Cambria"/>
                <w:bCs/>
                <w:noProof/>
                <w:color w:val="000000"/>
              </w:rPr>
              <w:t>05-AUG-2025</w:t>
            </w:r>
            <w:r w:rsidRPr="008257A2">
              <w:rPr>
                <w:rFonts w:ascii="Cambria" w:hAnsi="Cambria"/>
                <w:bCs/>
              </w:rPr>
              <w:t>.</w:t>
            </w:r>
            <w:r w:rsidR="00077D70" w:rsidRPr="00757762">
              <w:t xml:space="preserve"> ALONG WITH FURTHER</w:t>
            </w:r>
            <w:r w:rsidR="00077D70" w:rsidRPr="007950CB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077D70" w:rsidRPr="007950CB" w14:paraId="46DB2F5C" w14:textId="77777777" w:rsidTr="002E224A">
              <w:trPr>
                <w:trHeight w:val="265"/>
              </w:trPr>
              <w:tc>
                <w:tcPr>
                  <w:tcW w:w="1836" w:type="dxa"/>
                </w:tcPr>
                <w:p w14:paraId="75A49AFF" w14:textId="6A3C5A43" w:rsidR="00077D70" w:rsidRPr="007950CB" w:rsidRDefault="00077D70" w:rsidP="00077D70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8257A2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25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25,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000/-</w:t>
                  </w:r>
                </w:p>
              </w:tc>
            </w:tr>
            <w:tr w:rsidR="00077D70" w:rsidRPr="007950CB" w14:paraId="6A6B14E9" w14:textId="77777777" w:rsidTr="002E224A">
              <w:trPr>
                <w:trHeight w:val="250"/>
              </w:trPr>
              <w:tc>
                <w:tcPr>
                  <w:tcW w:w="1836" w:type="dxa"/>
                </w:tcPr>
                <w:p w14:paraId="61B4A6AD" w14:textId="30B044D0" w:rsidR="00077D70" w:rsidRPr="007950CB" w:rsidRDefault="00077D70" w:rsidP="00077D70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9D11B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2,52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,5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077D70" w:rsidRPr="007950CB" w14:paraId="1C50F8BC" w14:textId="77777777" w:rsidTr="002E224A">
              <w:trPr>
                <w:trHeight w:val="250"/>
              </w:trPr>
              <w:tc>
                <w:tcPr>
                  <w:tcW w:w="1836" w:type="dxa"/>
                </w:tcPr>
                <w:p w14:paraId="290E1539" w14:textId="77777777" w:rsidR="00077D70" w:rsidRPr="007950CB" w:rsidRDefault="00077D70" w:rsidP="00077D70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696313A5" w14:textId="77777777" w:rsidR="00077D70" w:rsidRPr="007950CB" w:rsidRDefault="00077D70" w:rsidP="00077D70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863C51" w14:textId="77777777" w:rsidR="00077D70" w:rsidRPr="003A4AD3" w:rsidRDefault="00077D70" w:rsidP="00077D7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1A8A10A" w14:textId="4372EF41" w:rsidR="00077D70" w:rsidRPr="00FB1013" w:rsidRDefault="009D11BB" w:rsidP="00077D7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29</w:t>
            </w:r>
            <w:r w:rsidR="00077D70" w:rsidRPr="00FB1013">
              <w:rPr>
                <w:b/>
                <w:bCs/>
                <w:color w:val="000000" w:themeColor="text1"/>
                <w:lang w:val="en-GB"/>
              </w:rPr>
              <w:t>/0</w:t>
            </w:r>
            <w:r w:rsidR="00077D70">
              <w:rPr>
                <w:b/>
                <w:bCs/>
                <w:color w:val="000000" w:themeColor="text1"/>
                <w:lang w:val="en-GB"/>
              </w:rPr>
              <w:t>7</w:t>
            </w:r>
            <w:r w:rsidR="00077D70" w:rsidRPr="00FB1013">
              <w:rPr>
                <w:b/>
                <w:bCs/>
                <w:color w:val="000000" w:themeColor="text1"/>
                <w:lang w:val="en-GB"/>
              </w:rPr>
              <w:t>/2026</w:t>
            </w:r>
          </w:p>
          <w:p w14:paraId="7D36DA5D" w14:textId="77777777" w:rsidR="00077D70" w:rsidRDefault="00077D70" w:rsidP="00077D70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3C642AE8" w14:textId="77777777" w:rsidR="00077D70" w:rsidRDefault="00077D70" w:rsidP="00077D70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69CEC957" w14:textId="77777777" w:rsidR="00077D70" w:rsidRDefault="00077D70" w:rsidP="00077D7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3D0EFE40" w14:textId="609FF71C" w:rsidR="00077D70" w:rsidRDefault="00077D70" w:rsidP="00077D7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2. </w:t>
            </w:r>
            <w:r w:rsidR="009D11BB">
              <w:rPr>
                <w:b/>
                <w:bCs/>
                <w:color w:val="000000" w:themeColor="text1"/>
                <w:lang w:val="en-US"/>
              </w:rPr>
              <w:t>18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/07/2026 </w:t>
            </w:r>
          </w:p>
          <w:p w14:paraId="29C4A4B4" w14:textId="033CA975" w:rsidR="00077D70" w:rsidRPr="00433C65" w:rsidRDefault="00077D70" w:rsidP="00077D70">
            <w:pPr>
              <w:rPr>
                <w:b/>
                <w:bCs/>
                <w:color w:val="000000" w:themeColor="text1"/>
              </w:rPr>
            </w:pPr>
            <w:proofErr w:type="gramStart"/>
            <w:r w:rsidRPr="00433C65">
              <w:rPr>
                <w:b/>
                <w:bCs/>
                <w:color w:val="000000" w:themeColor="text1"/>
              </w:rPr>
              <w:t>Time :</w:t>
            </w:r>
            <w:proofErr w:type="gramEnd"/>
            <w:r w:rsidRPr="00433C65">
              <w:rPr>
                <w:b/>
                <w:bCs/>
                <w:color w:val="000000" w:themeColor="text1"/>
              </w:rPr>
              <w:t xml:space="preserve"> 11 AM To 1 PM</w:t>
            </w:r>
          </w:p>
        </w:tc>
      </w:tr>
      <w:tr w:rsidR="0011157F" w:rsidRPr="00632236" w14:paraId="22862BCD" w14:textId="77777777" w:rsidTr="00DB75F5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0153E159" w14:textId="17FA315C" w:rsidR="008257A2" w:rsidRPr="008257A2" w:rsidRDefault="00433C65" w:rsidP="008257A2">
            <w:pPr>
              <w:jc w:val="both"/>
              <w:rPr>
                <w:rFonts w:ascii="Cambria" w:hAnsi="Cambria"/>
                <w:bCs/>
                <w:noProof/>
              </w:rPr>
            </w:pPr>
            <w:r w:rsidRPr="003A4AD3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8257A2" w:rsidRPr="008257A2">
              <w:rPr>
                <w:rFonts w:ascii="Cambria" w:hAnsi="Cambria"/>
                <w:bCs/>
                <w:noProof/>
              </w:rPr>
              <w:t>ALL THAT PIECE AND PARCEL OF THE PROPERTY OF VACANT LAND SITUATED AT GANDHI MAIN ROAD, PUZHAL VILLAGE, COMPRISED IN SURVEY NO.217/7, AS PER PATTA SURVEY NO.212/7A2, MEASURING OF 6461.5 SQ.FT SITUATED IN MADHAVARAM TALUK, THIRUVALLUR DISTRICT THE FOLLOWING BOUNDARIES ARE EAST-S.NO.212/8, WEST-</w:t>
            </w:r>
            <w:r w:rsidR="008257A2" w:rsidRPr="008257A2">
              <w:rPr>
                <w:rFonts w:ascii="Cambria" w:hAnsi="Cambria"/>
                <w:bCs/>
                <w:noProof/>
              </w:rPr>
              <w:t xml:space="preserve"> </w:t>
            </w:r>
            <w:r w:rsidR="008257A2" w:rsidRPr="008257A2">
              <w:rPr>
                <w:rFonts w:ascii="Cambria" w:hAnsi="Cambria"/>
                <w:bCs/>
                <w:noProof/>
              </w:rPr>
              <w:t xml:space="preserve">S.NO.209, </w:t>
            </w:r>
          </w:p>
          <w:p w14:paraId="072CA928" w14:textId="0FAA1E75" w:rsidR="008257A2" w:rsidRPr="008257A2" w:rsidRDefault="008257A2" w:rsidP="008257A2">
            <w:pPr>
              <w:jc w:val="both"/>
              <w:rPr>
                <w:rFonts w:ascii="Cambria" w:hAnsi="Cambria"/>
                <w:bCs/>
                <w:noProof/>
              </w:rPr>
            </w:pPr>
            <w:r w:rsidRPr="008257A2">
              <w:rPr>
                <w:rFonts w:ascii="Cambria" w:hAnsi="Cambria"/>
                <w:bCs/>
                <w:noProof/>
              </w:rPr>
              <w:t xml:space="preserve">NORTH- GANDHI MAIN ROAD, SOUTH- </w:t>
            </w:r>
            <w:r w:rsidRPr="008257A2">
              <w:rPr>
                <w:rFonts w:ascii="Cambria" w:hAnsi="Cambria"/>
                <w:bCs/>
                <w:noProof/>
              </w:rPr>
              <w:tab/>
              <w:t>VACANT LAND</w:t>
            </w:r>
            <w:r w:rsidRPr="008257A2">
              <w:rPr>
                <w:rFonts w:ascii="Cambria" w:hAnsi="Cambria"/>
                <w:bCs/>
                <w:noProof/>
              </w:rPr>
              <w:t xml:space="preserve">, </w:t>
            </w:r>
            <w:r w:rsidRPr="008257A2">
              <w:rPr>
                <w:rFonts w:ascii="Cambria" w:hAnsi="Cambria"/>
                <w:bCs/>
                <w:noProof/>
              </w:rPr>
              <w:t xml:space="preserve">IN ALL MEASURING 6461.5 SQUARE FEET </w:t>
            </w:r>
          </w:p>
          <w:p w14:paraId="66DC0332" w14:textId="77777777" w:rsidR="008257A2" w:rsidRPr="008257A2" w:rsidRDefault="008257A2" w:rsidP="008257A2">
            <w:pPr>
              <w:jc w:val="both"/>
              <w:rPr>
                <w:rFonts w:ascii="Cambria" w:hAnsi="Cambria"/>
                <w:bCs/>
                <w:noProof/>
              </w:rPr>
            </w:pPr>
            <w:r w:rsidRPr="008257A2">
              <w:rPr>
                <w:rFonts w:ascii="Cambria" w:hAnsi="Cambria"/>
                <w:bCs/>
                <w:noProof/>
              </w:rPr>
              <w:t xml:space="preserve">ITEM NO.2 ALL THAT PIECE AN D PARCEL OF VACANT LAND SITUATED AT GANDHI MAINROAD, PUZHAL VILLAGE COMPRISED IN SURVEY NO. 212/7A1, MEASURING OF 7000 SQ.FT SITUATED IN MADHAVARAM TALUK, THIRUVALLUR DISTRICT THE FOLLOWING BOUNDARIES ARE </w:t>
            </w:r>
          </w:p>
          <w:p w14:paraId="4A2FB02B" w14:textId="1A2984E8" w:rsidR="0011157F" w:rsidRPr="00425599" w:rsidRDefault="008257A2" w:rsidP="008257A2">
            <w:pPr>
              <w:jc w:val="both"/>
              <w:rPr>
                <w:b/>
                <w:bCs/>
                <w:color w:val="000000" w:themeColor="text1"/>
              </w:rPr>
            </w:pPr>
            <w:r w:rsidRPr="008257A2">
              <w:rPr>
                <w:rFonts w:ascii="Cambria" w:hAnsi="Cambria"/>
                <w:bCs/>
                <w:noProof/>
              </w:rPr>
              <w:t>EAST-</w:t>
            </w:r>
            <w:r w:rsidRPr="008257A2">
              <w:rPr>
                <w:rFonts w:ascii="Cambria" w:hAnsi="Cambria"/>
                <w:bCs/>
                <w:noProof/>
              </w:rPr>
              <w:tab/>
              <w:t>LAND SETTELED TO HUSBAND(KAPOOR CHORDIA)</w:t>
            </w:r>
            <w:r w:rsidRPr="008257A2">
              <w:rPr>
                <w:rFonts w:ascii="Cambria" w:hAnsi="Cambria"/>
                <w:bCs/>
                <w:noProof/>
              </w:rPr>
              <w:t xml:space="preserve">, </w:t>
            </w:r>
            <w:r w:rsidRPr="008257A2">
              <w:rPr>
                <w:rFonts w:ascii="Cambria" w:hAnsi="Cambria"/>
                <w:bCs/>
                <w:noProof/>
              </w:rPr>
              <w:t>WEST-VACANT LAND,</w:t>
            </w:r>
            <w:r w:rsidRPr="008257A2">
              <w:rPr>
                <w:rFonts w:ascii="Cambria" w:hAnsi="Cambria"/>
                <w:bCs/>
                <w:noProof/>
              </w:rPr>
              <w:t xml:space="preserve"> </w:t>
            </w:r>
            <w:r w:rsidRPr="008257A2">
              <w:rPr>
                <w:rFonts w:ascii="Cambria" w:hAnsi="Cambria"/>
                <w:bCs/>
                <w:noProof/>
              </w:rPr>
              <w:t>NORTH-GANDHI MAIN ROAD, SOUTH-</w:t>
            </w:r>
            <w:r w:rsidRPr="008257A2">
              <w:rPr>
                <w:rFonts w:ascii="Cambria" w:hAnsi="Cambria"/>
                <w:bCs/>
                <w:noProof/>
              </w:rPr>
              <w:tab/>
              <w:t>VACANT LAND</w:t>
            </w:r>
            <w:r w:rsidRPr="008257A2">
              <w:rPr>
                <w:rFonts w:ascii="Cambria" w:hAnsi="Cambria"/>
                <w:bCs/>
                <w:noProof/>
              </w:rPr>
              <w:t xml:space="preserve"> </w:t>
            </w:r>
            <w:r w:rsidRPr="008257A2">
              <w:rPr>
                <w:rFonts w:ascii="Cambria" w:hAnsi="Cambria"/>
                <w:bCs/>
                <w:noProof/>
              </w:rPr>
              <w:t>IN ALL ITEM NO.1 &amp; 2 MEASURING 13461.5 SQUARE FEET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45C8F3F6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Bid Form along with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EMD &amp;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shall be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submitted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till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5.00 PM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="009D11BB">
        <w:rPr>
          <w:rFonts w:ascii="Bookman Old Style" w:hAnsi="Bookman Old Style" w:cs="Times New Roman"/>
          <w:color w:val="000000" w:themeColor="text1"/>
          <w:sz w:val="20"/>
          <w:szCs w:val="20"/>
        </w:rPr>
        <w:t>28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F02523">
        <w:rPr>
          <w:rFonts w:ascii="Bookman Old Style" w:hAnsi="Bookman Old Style" w:cs="Times New Roman"/>
          <w:color w:val="000000" w:themeColor="text1"/>
          <w:sz w:val="20"/>
          <w:szCs w:val="20"/>
        </w:rPr>
        <w:t>7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15C443A" w14:textId="7A9F696A" w:rsidR="00A20CDD" w:rsidRPr="00FB1013" w:rsidRDefault="0029499D" w:rsidP="00FB1013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6E3ECBAF" w14:textId="77777777" w:rsidR="005E2022" w:rsidRDefault="005E2022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4353505D" w:rsidR="0029499D" w:rsidRPr="00632236" w:rsidRDefault="0029499D" w:rsidP="005E2022">
      <w:pPr>
        <w:spacing w:after="119" w:line="233" w:lineRule="auto"/>
        <w:ind w:left="45" w:right="12" w:firstLine="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6F2A81A5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proofErr w:type="gram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Place:</w:t>
      </w:r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-</w:t>
      </w:r>
      <w:proofErr w:type="gramEnd"/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077D7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Tamil Nadu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CD4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234"/>
    <w:multiLevelType w:val="hybridMultilevel"/>
    <w:tmpl w:val="B77CA3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3C497EDD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08AC"/>
    <w:multiLevelType w:val="hybridMultilevel"/>
    <w:tmpl w:val="99D046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321D6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13D1B"/>
    <w:rsid w:val="00024080"/>
    <w:rsid w:val="00054976"/>
    <w:rsid w:val="00067A0B"/>
    <w:rsid w:val="00073F17"/>
    <w:rsid w:val="00077D70"/>
    <w:rsid w:val="00081CF0"/>
    <w:rsid w:val="000848DB"/>
    <w:rsid w:val="00085751"/>
    <w:rsid w:val="00090F87"/>
    <w:rsid w:val="0009505F"/>
    <w:rsid w:val="000953F6"/>
    <w:rsid w:val="000A48D6"/>
    <w:rsid w:val="000B28D1"/>
    <w:rsid w:val="000B349E"/>
    <w:rsid w:val="000B672F"/>
    <w:rsid w:val="000C02F6"/>
    <w:rsid w:val="000C277A"/>
    <w:rsid w:val="000C6133"/>
    <w:rsid w:val="000D1135"/>
    <w:rsid w:val="000D4587"/>
    <w:rsid w:val="000E7593"/>
    <w:rsid w:val="00101BF4"/>
    <w:rsid w:val="001067CF"/>
    <w:rsid w:val="0011157F"/>
    <w:rsid w:val="001209AA"/>
    <w:rsid w:val="00147EAF"/>
    <w:rsid w:val="00153410"/>
    <w:rsid w:val="001745FD"/>
    <w:rsid w:val="00177F9C"/>
    <w:rsid w:val="00183CED"/>
    <w:rsid w:val="0018591A"/>
    <w:rsid w:val="00186940"/>
    <w:rsid w:val="001B0623"/>
    <w:rsid w:val="001B675B"/>
    <w:rsid w:val="001C5C4B"/>
    <w:rsid w:val="001E0267"/>
    <w:rsid w:val="001E46BA"/>
    <w:rsid w:val="00216F98"/>
    <w:rsid w:val="00230484"/>
    <w:rsid w:val="00231B54"/>
    <w:rsid w:val="00240815"/>
    <w:rsid w:val="00243002"/>
    <w:rsid w:val="0027533F"/>
    <w:rsid w:val="0027701E"/>
    <w:rsid w:val="00277CD2"/>
    <w:rsid w:val="00281E1A"/>
    <w:rsid w:val="00285369"/>
    <w:rsid w:val="00294551"/>
    <w:rsid w:val="0029499D"/>
    <w:rsid w:val="00294D52"/>
    <w:rsid w:val="00296D42"/>
    <w:rsid w:val="002B30BD"/>
    <w:rsid w:val="002B6447"/>
    <w:rsid w:val="002C3914"/>
    <w:rsid w:val="002D4CC1"/>
    <w:rsid w:val="002D5B24"/>
    <w:rsid w:val="002E078C"/>
    <w:rsid w:val="002E3AB1"/>
    <w:rsid w:val="002E4816"/>
    <w:rsid w:val="002E567D"/>
    <w:rsid w:val="002E7129"/>
    <w:rsid w:val="0030102E"/>
    <w:rsid w:val="0030564D"/>
    <w:rsid w:val="00305DC4"/>
    <w:rsid w:val="00307142"/>
    <w:rsid w:val="003075CF"/>
    <w:rsid w:val="003253E4"/>
    <w:rsid w:val="00335606"/>
    <w:rsid w:val="003406C5"/>
    <w:rsid w:val="0036110D"/>
    <w:rsid w:val="00366E2B"/>
    <w:rsid w:val="00380B44"/>
    <w:rsid w:val="0038406F"/>
    <w:rsid w:val="003A424F"/>
    <w:rsid w:val="003A4AD3"/>
    <w:rsid w:val="003B61C4"/>
    <w:rsid w:val="003B7767"/>
    <w:rsid w:val="003C0DAA"/>
    <w:rsid w:val="003C64FE"/>
    <w:rsid w:val="003C7B96"/>
    <w:rsid w:val="003D4003"/>
    <w:rsid w:val="00413D58"/>
    <w:rsid w:val="00415A3C"/>
    <w:rsid w:val="004253F7"/>
    <w:rsid w:val="00425599"/>
    <w:rsid w:val="0042737B"/>
    <w:rsid w:val="00433C65"/>
    <w:rsid w:val="004352F0"/>
    <w:rsid w:val="00450312"/>
    <w:rsid w:val="00460AD7"/>
    <w:rsid w:val="00482CF8"/>
    <w:rsid w:val="00484C14"/>
    <w:rsid w:val="0049336C"/>
    <w:rsid w:val="004A291D"/>
    <w:rsid w:val="004A3B0C"/>
    <w:rsid w:val="004A48DB"/>
    <w:rsid w:val="004B060F"/>
    <w:rsid w:val="004B32C2"/>
    <w:rsid w:val="004B410D"/>
    <w:rsid w:val="004C0747"/>
    <w:rsid w:val="004E0B6C"/>
    <w:rsid w:val="004E1199"/>
    <w:rsid w:val="004E1968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2A85"/>
    <w:rsid w:val="0057437D"/>
    <w:rsid w:val="005A1341"/>
    <w:rsid w:val="005A244A"/>
    <w:rsid w:val="005A6E77"/>
    <w:rsid w:val="005A7A3D"/>
    <w:rsid w:val="005B32AC"/>
    <w:rsid w:val="005C2237"/>
    <w:rsid w:val="005E2022"/>
    <w:rsid w:val="005F7486"/>
    <w:rsid w:val="00610CF8"/>
    <w:rsid w:val="006149D0"/>
    <w:rsid w:val="00616C72"/>
    <w:rsid w:val="00620429"/>
    <w:rsid w:val="006226A2"/>
    <w:rsid w:val="0062752C"/>
    <w:rsid w:val="00633F9A"/>
    <w:rsid w:val="00641A5D"/>
    <w:rsid w:val="00641B15"/>
    <w:rsid w:val="006421A8"/>
    <w:rsid w:val="00642491"/>
    <w:rsid w:val="00643002"/>
    <w:rsid w:val="0066553B"/>
    <w:rsid w:val="0066676D"/>
    <w:rsid w:val="00686452"/>
    <w:rsid w:val="006938E2"/>
    <w:rsid w:val="00693C56"/>
    <w:rsid w:val="006970EB"/>
    <w:rsid w:val="006A2F41"/>
    <w:rsid w:val="006B70B0"/>
    <w:rsid w:val="006C745E"/>
    <w:rsid w:val="006D663F"/>
    <w:rsid w:val="006E2BC1"/>
    <w:rsid w:val="006F4A25"/>
    <w:rsid w:val="007015A4"/>
    <w:rsid w:val="007036FD"/>
    <w:rsid w:val="00710AAB"/>
    <w:rsid w:val="0072192E"/>
    <w:rsid w:val="00732636"/>
    <w:rsid w:val="00742950"/>
    <w:rsid w:val="00742B58"/>
    <w:rsid w:val="0075106C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C20B9"/>
    <w:rsid w:val="007D4214"/>
    <w:rsid w:val="007E24ED"/>
    <w:rsid w:val="007F53BF"/>
    <w:rsid w:val="00804535"/>
    <w:rsid w:val="008069F9"/>
    <w:rsid w:val="00823470"/>
    <w:rsid w:val="008257A2"/>
    <w:rsid w:val="00834866"/>
    <w:rsid w:val="008561F5"/>
    <w:rsid w:val="00863273"/>
    <w:rsid w:val="008642F9"/>
    <w:rsid w:val="00882659"/>
    <w:rsid w:val="00886DAF"/>
    <w:rsid w:val="008921D8"/>
    <w:rsid w:val="00892CC7"/>
    <w:rsid w:val="00897BE0"/>
    <w:rsid w:val="008A0B8A"/>
    <w:rsid w:val="008C29A1"/>
    <w:rsid w:val="008D0310"/>
    <w:rsid w:val="008E5DFD"/>
    <w:rsid w:val="00901842"/>
    <w:rsid w:val="00903E38"/>
    <w:rsid w:val="0090473F"/>
    <w:rsid w:val="009071EE"/>
    <w:rsid w:val="00907996"/>
    <w:rsid w:val="00907D75"/>
    <w:rsid w:val="0091419C"/>
    <w:rsid w:val="00930B30"/>
    <w:rsid w:val="00935D67"/>
    <w:rsid w:val="0095316C"/>
    <w:rsid w:val="00957E18"/>
    <w:rsid w:val="00961DA7"/>
    <w:rsid w:val="00964847"/>
    <w:rsid w:val="00970503"/>
    <w:rsid w:val="009706B5"/>
    <w:rsid w:val="00991F8E"/>
    <w:rsid w:val="00992663"/>
    <w:rsid w:val="009A51FB"/>
    <w:rsid w:val="009A57C9"/>
    <w:rsid w:val="009B781C"/>
    <w:rsid w:val="009C6B9A"/>
    <w:rsid w:val="009D11BB"/>
    <w:rsid w:val="009D62BC"/>
    <w:rsid w:val="009E2226"/>
    <w:rsid w:val="009E2864"/>
    <w:rsid w:val="009E2DF4"/>
    <w:rsid w:val="009E7D24"/>
    <w:rsid w:val="009F2BC4"/>
    <w:rsid w:val="00A0025F"/>
    <w:rsid w:val="00A004AA"/>
    <w:rsid w:val="00A146CC"/>
    <w:rsid w:val="00A207AE"/>
    <w:rsid w:val="00A20CDD"/>
    <w:rsid w:val="00A30DDB"/>
    <w:rsid w:val="00A36E67"/>
    <w:rsid w:val="00A42F75"/>
    <w:rsid w:val="00A43300"/>
    <w:rsid w:val="00A458AD"/>
    <w:rsid w:val="00A4614B"/>
    <w:rsid w:val="00A52034"/>
    <w:rsid w:val="00A62954"/>
    <w:rsid w:val="00A6581D"/>
    <w:rsid w:val="00A82762"/>
    <w:rsid w:val="00A928E2"/>
    <w:rsid w:val="00AC1F00"/>
    <w:rsid w:val="00AD6457"/>
    <w:rsid w:val="00AE0499"/>
    <w:rsid w:val="00B03E49"/>
    <w:rsid w:val="00B113F4"/>
    <w:rsid w:val="00B42EBB"/>
    <w:rsid w:val="00B473E9"/>
    <w:rsid w:val="00B51D98"/>
    <w:rsid w:val="00B53A60"/>
    <w:rsid w:val="00B60693"/>
    <w:rsid w:val="00B6167B"/>
    <w:rsid w:val="00B917FB"/>
    <w:rsid w:val="00BA7017"/>
    <w:rsid w:val="00BC64E7"/>
    <w:rsid w:val="00BF5164"/>
    <w:rsid w:val="00BF5589"/>
    <w:rsid w:val="00C00B30"/>
    <w:rsid w:val="00C02E96"/>
    <w:rsid w:val="00C03826"/>
    <w:rsid w:val="00C03F16"/>
    <w:rsid w:val="00C12731"/>
    <w:rsid w:val="00C26D2E"/>
    <w:rsid w:val="00C36901"/>
    <w:rsid w:val="00C43AFD"/>
    <w:rsid w:val="00C454C7"/>
    <w:rsid w:val="00C47CC3"/>
    <w:rsid w:val="00C51B94"/>
    <w:rsid w:val="00C528BB"/>
    <w:rsid w:val="00C54412"/>
    <w:rsid w:val="00C60A37"/>
    <w:rsid w:val="00C66AB0"/>
    <w:rsid w:val="00C70512"/>
    <w:rsid w:val="00C757F4"/>
    <w:rsid w:val="00C808B0"/>
    <w:rsid w:val="00C867E3"/>
    <w:rsid w:val="00C87DEB"/>
    <w:rsid w:val="00C9233A"/>
    <w:rsid w:val="00CB50F8"/>
    <w:rsid w:val="00CD2D44"/>
    <w:rsid w:val="00CE3A8F"/>
    <w:rsid w:val="00CF15F3"/>
    <w:rsid w:val="00CF4875"/>
    <w:rsid w:val="00D00B86"/>
    <w:rsid w:val="00D21BCC"/>
    <w:rsid w:val="00D21C2E"/>
    <w:rsid w:val="00D34EA8"/>
    <w:rsid w:val="00D52D66"/>
    <w:rsid w:val="00D55E35"/>
    <w:rsid w:val="00D6659E"/>
    <w:rsid w:val="00D67CF4"/>
    <w:rsid w:val="00D95326"/>
    <w:rsid w:val="00DA37C1"/>
    <w:rsid w:val="00DB2624"/>
    <w:rsid w:val="00DC36F0"/>
    <w:rsid w:val="00DC6EC3"/>
    <w:rsid w:val="00DE5D0A"/>
    <w:rsid w:val="00DE74CF"/>
    <w:rsid w:val="00DF161D"/>
    <w:rsid w:val="00DF44CB"/>
    <w:rsid w:val="00E03268"/>
    <w:rsid w:val="00E0656C"/>
    <w:rsid w:val="00E06787"/>
    <w:rsid w:val="00E17E7D"/>
    <w:rsid w:val="00E51306"/>
    <w:rsid w:val="00E51A01"/>
    <w:rsid w:val="00E61184"/>
    <w:rsid w:val="00E96056"/>
    <w:rsid w:val="00E96A09"/>
    <w:rsid w:val="00EA16EF"/>
    <w:rsid w:val="00EA3542"/>
    <w:rsid w:val="00EC31A7"/>
    <w:rsid w:val="00EC452A"/>
    <w:rsid w:val="00EC5206"/>
    <w:rsid w:val="00EC670F"/>
    <w:rsid w:val="00ED0EA0"/>
    <w:rsid w:val="00ED7C8A"/>
    <w:rsid w:val="00EE0E4A"/>
    <w:rsid w:val="00EE1C7E"/>
    <w:rsid w:val="00EE1D97"/>
    <w:rsid w:val="00EE7D35"/>
    <w:rsid w:val="00EF56D2"/>
    <w:rsid w:val="00F02523"/>
    <w:rsid w:val="00F107C4"/>
    <w:rsid w:val="00F20F24"/>
    <w:rsid w:val="00F214B4"/>
    <w:rsid w:val="00F23413"/>
    <w:rsid w:val="00F375BC"/>
    <w:rsid w:val="00F50C4D"/>
    <w:rsid w:val="00F54EA1"/>
    <w:rsid w:val="00F574E3"/>
    <w:rsid w:val="00F62497"/>
    <w:rsid w:val="00F64207"/>
    <w:rsid w:val="00F7772D"/>
    <w:rsid w:val="00FA0D0F"/>
    <w:rsid w:val="00FB1013"/>
    <w:rsid w:val="00FB1F00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</cp:revision>
  <dcterms:created xsi:type="dcterms:W3CDTF">2026-06-24T11:38:00Z</dcterms:created>
  <dcterms:modified xsi:type="dcterms:W3CDTF">2026-06-24T11:38:00Z</dcterms:modified>
</cp:coreProperties>
</file>